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50C2" w14:textId="4A7C7007" w:rsidR="0022183A" w:rsidRPr="00C37E9C" w:rsidRDefault="0022183A" w:rsidP="00C37E9C">
      <w:pPr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37E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C94045" wp14:editId="27783B01">
            <wp:simplePos x="0" y="0"/>
            <wp:positionH relativeFrom="column">
              <wp:posOffset>266700</wp:posOffset>
            </wp:positionH>
            <wp:positionV relativeFrom="paragraph">
              <wp:posOffset>-333375</wp:posOffset>
            </wp:positionV>
            <wp:extent cx="1133475" cy="90487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15485" r="84210" b="7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E1D6F" w14:textId="77777777" w:rsidR="0022183A" w:rsidRPr="00C37E9C" w:rsidRDefault="0022183A" w:rsidP="00C37E9C">
      <w:pPr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59BE3E01" w14:textId="2F8C2E17" w:rsidR="008D1F07" w:rsidRPr="00C37E9C" w:rsidRDefault="008D1F07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E9C">
        <w:rPr>
          <w:rFonts w:ascii="Times New Roman" w:hAnsi="Times New Roman" w:cs="Times New Roman"/>
          <w:b/>
          <w:sz w:val="24"/>
          <w:szCs w:val="24"/>
        </w:rPr>
        <w:t xml:space="preserve">Association of </w:t>
      </w:r>
      <w:proofErr w:type="spellStart"/>
      <w:r w:rsidRPr="00C37E9C">
        <w:rPr>
          <w:rFonts w:ascii="Times New Roman" w:hAnsi="Times New Roman" w:cs="Times New Roman"/>
          <w:b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b/>
          <w:sz w:val="24"/>
          <w:szCs w:val="24"/>
        </w:rPr>
        <w:t xml:space="preserve"> of Slovakia</w:t>
      </w:r>
    </w:p>
    <w:p w14:paraId="1D3C2905" w14:textId="5984E125" w:rsidR="0022183A" w:rsidRPr="00C37E9C" w:rsidRDefault="0022183A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E9C">
        <w:rPr>
          <w:rFonts w:ascii="Times New Roman" w:hAnsi="Times New Roman" w:cs="Times New Roman"/>
          <w:b/>
          <w:sz w:val="24"/>
          <w:szCs w:val="24"/>
        </w:rPr>
        <w:t>Štúrova 29, 041 78  Košice</w:t>
      </w:r>
    </w:p>
    <w:p w14:paraId="27FE54B3" w14:textId="77777777" w:rsidR="0022183A" w:rsidRPr="00C37E9C" w:rsidRDefault="0022183A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E9C">
        <w:rPr>
          <w:rFonts w:ascii="Times New Roman" w:hAnsi="Times New Roman" w:cs="Times New Roman"/>
          <w:b/>
          <w:sz w:val="24"/>
          <w:szCs w:val="24"/>
        </w:rPr>
        <w:t>IČO: 31932169</w:t>
      </w:r>
    </w:p>
    <w:p w14:paraId="63040D20" w14:textId="77777777" w:rsidR="0022183A" w:rsidRPr="00C37E9C" w:rsidRDefault="0022183A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E9C">
        <w:rPr>
          <w:rFonts w:ascii="Times New Roman" w:hAnsi="Times New Roman" w:cs="Times New Roman"/>
          <w:b/>
          <w:sz w:val="24"/>
          <w:szCs w:val="24"/>
        </w:rPr>
        <w:tab/>
      </w:r>
    </w:p>
    <w:p w14:paraId="30FCA4DB" w14:textId="77777777" w:rsidR="0022183A" w:rsidRPr="00C37E9C" w:rsidRDefault="0022183A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882C6" w14:textId="03BE17BD" w:rsidR="0022183A" w:rsidRPr="00C37E9C" w:rsidRDefault="0022183A" w:rsidP="00C37E9C">
      <w:pPr>
        <w:tabs>
          <w:tab w:val="left" w:pos="60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ab/>
      </w:r>
      <w:r w:rsidR="008D1F07" w:rsidRPr="00C37E9C">
        <w:rPr>
          <w:rFonts w:ascii="Times New Roman" w:hAnsi="Times New Roman" w:cs="Times New Roman"/>
          <w:sz w:val="24"/>
          <w:szCs w:val="24"/>
        </w:rPr>
        <w:t>In Košice</w:t>
      </w:r>
      <w:r w:rsidRPr="00C37E9C">
        <w:rPr>
          <w:rFonts w:ascii="Times New Roman" w:hAnsi="Times New Roman" w:cs="Times New Roman"/>
          <w:sz w:val="24"/>
          <w:szCs w:val="24"/>
        </w:rPr>
        <w:t xml:space="preserve"> 1</w:t>
      </w:r>
      <w:r w:rsidR="00453E7D" w:rsidRPr="00C37E9C">
        <w:rPr>
          <w:rFonts w:ascii="Times New Roman" w:hAnsi="Times New Roman" w:cs="Times New Roman"/>
          <w:sz w:val="24"/>
          <w:szCs w:val="24"/>
        </w:rPr>
        <w:t>9</w:t>
      </w:r>
      <w:r w:rsidRPr="00C37E9C">
        <w:rPr>
          <w:rFonts w:ascii="Times New Roman" w:hAnsi="Times New Roman" w:cs="Times New Roman"/>
          <w:sz w:val="24"/>
          <w:szCs w:val="24"/>
        </w:rPr>
        <w:t>.10.2020</w:t>
      </w:r>
    </w:p>
    <w:p w14:paraId="61BBD014" w14:textId="4A84835D" w:rsidR="0022183A" w:rsidRPr="00C37E9C" w:rsidRDefault="0022183A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18685" w14:textId="7AB14475" w:rsidR="00313228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Ref</w:t>
      </w:r>
      <w:proofErr w:type="spellEnd"/>
      <w:r w:rsidR="0022183A"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>Parliament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6431D74" w14:textId="17CDB2A0" w:rsidR="002D233B" w:rsidRPr="00C37E9C" w:rsidRDefault="002D233B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2FD5D" w14:textId="5FBE3C87" w:rsidR="0022183A" w:rsidRPr="00C53764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Dear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members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Parliament</w:t>
      </w:r>
      <w:proofErr w:type="spellEnd"/>
      <w:r w:rsidR="00A37773" w:rsidRPr="00C5376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0E0F7A3" w14:textId="3189178F" w:rsidR="00A37773" w:rsidRPr="00C37E9C" w:rsidRDefault="00A37773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0A654" w14:textId="77777777" w:rsidR="008D1F07" w:rsidRPr="00C37E9C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government's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amend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3849BB35" w14:textId="77777777" w:rsidR="008D1F07" w:rsidRPr="00C37E9C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FC029" w14:textId="285C323F" w:rsidR="008D1F07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announce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inspections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census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40064B0" w14:textId="77777777" w:rsidR="00C53764" w:rsidRPr="00C37E9C" w:rsidRDefault="00C53764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B8FCD" w14:textId="757013DE" w:rsidR="008D1F07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reservations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adjustments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4A470050" w14:textId="77777777" w:rsidR="00C53764" w:rsidRPr="00C37E9C" w:rsidRDefault="00C53764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95878" w14:textId="67B72ACD" w:rsidR="008D1F07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far-reaching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subordination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r w:rsidRPr="00C37E9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8F1DDC0" w14:textId="77777777" w:rsidR="00C53764" w:rsidRPr="00C37E9C" w:rsidRDefault="00C53764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B600" w14:textId="1D0A6777" w:rsidR="00A37773" w:rsidRPr="00C37E9C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reservations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7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government's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</w:t>
      </w:r>
      <w:r w:rsidRPr="00C37E9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 (1)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fulfills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6F00153" w14:textId="77777777" w:rsidR="008D1F07" w:rsidRPr="00C37E9C" w:rsidRDefault="008D1F07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7BFBD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dissenting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opinion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reservations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pointed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out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comment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) to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changes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C357FA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2F301" w14:textId="77777777" w:rsidR="008D1F07" w:rsidRPr="00C53764" w:rsidRDefault="008D1F07" w:rsidP="00C37E9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addition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text of Art. 125 par. 4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which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liquidates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Court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universal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nationwide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protection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constitutionality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restricting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possible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unconstitutionality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20C523" w14:textId="77777777" w:rsidR="008D1F07" w:rsidRPr="00C37E9C" w:rsidRDefault="008D1F07" w:rsidP="00C37E9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2EE7A" w14:textId="297AC48C" w:rsidR="008D1F07" w:rsidRDefault="008D1F07" w:rsidP="00C37E9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endanger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inalienable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irrevocable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12-1</w:t>
      </w:r>
      <w:r w:rsidRPr="00C37E9C">
        <w:rPr>
          <w:rFonts w:ascii="Times New Roman" w:hAnsi="Times New Roman" w:cs="Times New Roman"/>
          <w:sz w:val="24"/>
          <w:szCs w:val="24"/>
        </w:rPr>
        <w:t xml:space="preserve">) and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r w:rsidR="00C53764">
        <w:rPr>
          <w:rFonts w:ascii="Times New Roman" w:hAnsi="Times New Roman" w:cs="Times New Roman"/>
          <w:sz w:val="24"/>
          <w:szCs w:val="24"/>
        </w:rPr>
        <w:t>Mečiar</w:t>
      </w:r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amnesties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5CCC893" w14:textId="77777777" w:rsidR="00C53764" w:rsidRPr="00C37E9C" w:rsidRDefault="00C53764" w:rsidP="00C37E9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B8A960" w14:textId="65D2E88D" w:rsidR="008D1F07" w:rsidRDefault="008D1F07" w:rsidP="00C37E9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 /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annulment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President's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3/5 majority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deputies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Art. 129a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competence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6730642E" w14:textId="77777777" w:rsidR="00C53764" w:rsidRPr="00C37E9C" w:rsidRDefault="00C53764" w:rsidP="00C37E9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D27560" w14:textId="46801552" w:rsidR="008D1F07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necessity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PL.ÚS 16/95, PL.ÚS 21/2014, PL.ÚS 24/2014).</w:t>
      </w:r>
    </w:p>
    <w:p w14:paraId="3ABED81C" w14:textId="77777777" w:rsidR="00C53764" w:rsidRPr="00C37E9C" w:rsidRDefault="00C53764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56E12" w14:textId="46758489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P.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Bröstl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Drgonec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Majerčák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inspiring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4E12D5BE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ignored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abolishes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inviolability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134 para.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promise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D39280D" w14:textId="439EC15A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Art. 124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21/2014).</w:t>
      </w:r>
    </w:p>
    <w:p w14:paraId="55BB82EA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majority to limit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unrestrictedly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inalienable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irrevocable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12 (1)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ignoring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10/04, PL.ÚS 19/09) and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319CA668" w14:textId="210CFB33" w:rsidR="00AF7576" w:rsidRPr="00C37E9C" w:rsidRDefault="00AF7576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F3426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state, and in a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governed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16/95, PL.ÚS 25/00, PL.ÚS 115/2011 ).</w:t>
      </w:r>
    </w:p>
    <w:p w14:paraId="71009242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inconsistent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so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hierarchical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A0D861C" w14:textId="7AC6E0FD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purification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subordination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majority),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1 par. 1,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2 par. 2, Art. 124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3AB2567A" w14:textId="66AC56DE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6079F" w14:textId="00B3C8B4" w:rsidR="008D1F07" w:rsidRPr="00C37E9C" w:rsidRDefault="008D1F07" w:rsidP="00C37E9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deletion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original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text Art. 136 par. 3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amended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>, "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consents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detention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and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prosecutor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14:paraId="177F4B56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liquidation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perceived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constitutionalism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attempts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4/2020, PL.ÚS 6/2020).</w:t>
      </w:r>
    </w:p>
    <w:p w14:paraId="70B85F1A" w14:textId="256A57DC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ECtHR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6 §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11A2A40F" w14:textId="7BB94F76" w:rsidR="008D1F07" w:rsidRPr="00C37E9C" w:rsidRDefault="008D1F07" w:rsidP="00C53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aforementioned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sense of Art. 17 par. 5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observance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General)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unequal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17/08, PL.ÚS 11/02 ÚS ČR).</w:t>
      </w:r>
    </w:p>
    <w:p w14:paraId="3E325E50" w14:textId="77777777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unparalleled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met.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lies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D59049F" w14:textId="7181645D" w:rsidR="008D1F07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57" w:rsidRPr="00C37E9C">
        <w:rPr>
          <w:rFonts w:ascii="Times New Roman" w:hAnsi="Times New Roman" w:cs="Times New Roman"/>
          <w:sz w:val="24"/>
          <w:szCs w:val="24"/>
        </w:rPr>
        <w:t>Prosecutor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General,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broadly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perceives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fulfillment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="00CD5F57" w:rsidRPr="00C37E9C">
        <w:rPr>
          <w:rFonts w:ascii="Times New Roman" w:hAnsi="Times New Roman" w:cs="Times New Roman"/>
          <w:sz w:val="24"/>
          <w:szCs w:val="24"/>
        </w:rPr>
        <w:t xml:space="preserve"> </w:t>
      </w:r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124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10B5F195" w14:textId="785AD84A" w:rsidR="0079024F" w:rsidRPr="00C37E9C" w:rsidRDefault="008D1F0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liquidate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0288006" w14:textId="3CC44ACF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6BEDD" w14:textId="5385120E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80E6" w14:textId="67E7BAEA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A8829" w14:textId="09466EFB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C3DBE" w14:textId="4C798275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33CA5" w14:textId="6FAF902F" w:rsidR="00CD5F57" w:rsidRPr="00C53764" w:rsidRDefault="00CD5F57" w:rsidP="00C53764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enshrining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in Art. 141a par. 1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status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Judicial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Council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body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judicial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legitimacy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only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as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autonomous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independent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body (in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sense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explanatory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memorandum),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because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fulfill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judicial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government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parliament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means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clearly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subordinating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activities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Judicial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Council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(a body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placed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judiciary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) to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ideas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intentions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)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current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majority (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governmental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parliamentary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40FA4ACD" w14:textId="77777777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Slovakia,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EU pre-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negotiations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Slovakia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Slovakia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requirement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point 78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Explanatory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Memorandum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No. 99/2001,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Slovakia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EU.</w:t>
      </w:r>
    </w:p>
    <w:p w14:paraId="5D14718A" w14:textId="5E796C51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stipulated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VII.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fulfillment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status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above-mentioned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explanatory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memorandum).</w:t>
      </w:r>
    </w:p>
    <w:p w14:paraId="733D452D" w14:textId="19C0F41A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EU.</w:t>
      </w:r>
    </w:p>
    <w:p w14:paraId="74549784" w14:textId="77777777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ignored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recommendatory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sense of Art. 1 par. 2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PL.ÚS 7/2017, PL.ÚS 27/2015).</w:t>
      </w:r>
    </w:p>
    <w:p w14:paraId="6C45A1BB" w14:textId="77777777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CM /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(2010) 12 of 17.10.2010,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1998,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Consultative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CCJE (2010) 3, 2010,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Report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2010).</w:t>
      </w:r>
    </w:p>
    <w:p w14:paraId="31CA1CBD" w14:textId="320435AD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indisputable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attributes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17/96).</w:t>
      </w:r>
    </w:p>
    <w:p w14:paraId="38B5ABC6" w14:textId="77777777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definitively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eliminates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proclaimed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cleansing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subordination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D16612A" w14:textId="01D5C6EB" w:rsidR="00A008DC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disrespect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13CD7F4" w14:textId="34433005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E765" w14:textId="4EBD0F4F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>4</w:t>
      </w:r>
      <w:r w:rsidRPr="00C37E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addition to Art. 141a par. 3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second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sentence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excludes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government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parliament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appoint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as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member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appoint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 person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930FFF5" w14:textId="77777777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destroys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Art. 30 par.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Art. 12 par. 1,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inalienable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irrevocable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7/2017).</w:t>
      </w:r>
    </w:p>
    <w:p w14:paraId="27D833EB" w14:textId="25DAC9C8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Art. 30 par. 4,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(II.ÚS 48/97, I.ÚS 76/2011, I.ÚS 397/14).</w:t>
      </w:r>
    </w:p>
    <w:p w14:paraId="0B948981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C6BC65F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lays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141a (1)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57BB6D3" w14:textId="2DA6004E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run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C4C9703" w14:textId="72F0A465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undoubtedly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30 par.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obstacle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resp.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19/98).</w:t>
      </w:r>
    </w:p>
    <w:p w14:paraId="14DFB71F" w14:textId="1C36351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lastRenderedPageBreak/>
        <w:t xml:space="preserve">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095F4FA" w14:textId="32E172E1" w:rsidR="00CD5F57" w:rsidRPr="00C37E9C" w:rsidRDefault="00CD5F57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pursued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PL.ÚS 2/2012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appointing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EB954E7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appoint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do so,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ban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0E491B5" w14:textId="089E505D" w:rsidR="00E87ACA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proclaimed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cleansing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exemplary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3C7DB6C8" w14:textId="42A4AAF0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3116D" w14:textId="5AC537AD" w:rsidR="007A3FEE" w:rsidRPr="00C37E9C" w:rsidRDefault="007A3FEE" w:rsidP="00C37E9C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amendment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Art. 141a par. 5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third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sentence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establishment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dismiss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Vice-President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expiry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term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D071A4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interruption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unlawful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FA481E8" w14:textId="3C3AAE10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30 (4))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a body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deprived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a state body,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undisturbed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Art. 30 par. 1,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(III.ÚS 62/2011,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PLz.ÚS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2/2018, II.ÚS 53/04 - ÚS ČR).</w:t>
      </w:r>
    </w:p>
    <w:p w14:paraId="323460D3" w14:textId="1DC8DC9F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a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governed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irreplaceable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person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predictable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convincing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grounds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). In a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governed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discretion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102/2011,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ECtHR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Malove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v. United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- 1984).</w:t>
      </w:r>
    </w:p>
    <w:p w14:paraId="6A3A699F" w14:textId="0E00E960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(Title VII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dismiss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Drgonec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 1058-1510).</w:t>
      </w:r>
    </w:p>
    <w:p w14:paraId="7965EFC5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grounds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controllability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423E9E7E" w14:textId="5405ADDD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0292339" w14:textId="087A4E1C" w:rsidR="000116AD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repetition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recurrence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model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dismissal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102/2011).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Prime Minister Radičová (Minister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Žitňanská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Minister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dismiss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vice-chairman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71341A4" w14:textId="18CA16A2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22611" w14:textId="0D6A1156" w:rsidR="007A3FEE" w:rsidRPr="00C53764" w:rsidRDefault="007A3FEE" w:rsidP="00C37E9C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amendment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Art. 148 par. 1,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second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sentence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requiring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consent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a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judge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when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transferring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another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court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when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changing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system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courts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necessary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ensure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proper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performance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b/>
          <w:bCs/>
          <w:sz w:val="24"/>
          <w:szCs w:val="24"/>
        </w:rPr>
        <w:t>justice</w:t>
      </w:r>
      <w:proofErr w:type="spellEnd"/>
      <w:r w:rsidRPr="00C537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0B18BD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non-translatability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52/99).</w:t>
      </w:r>
    </w:p>
    <w:p w14:paraId="6AC0FE33" w14:textId="66886875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non-translatability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impartial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A1C2CE5" w14:textId="1636D441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change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change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non-translatability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12/04).</w:t>
      </w:r>
    </w:p>
    <w:p w14:paraId="08E4C7D1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transfer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change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transfer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(change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0442D3DA" w14:textId="3511B59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subjective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deprived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 (eg PL.ÚS 16/95, PL.ÚS 35/97, PL.ÚS 6/04).</w:t>
      </w:r>
    </w:p>
    <w:p w14:paraId="4F7A3BB7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transferring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F51B4DF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non-translationability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level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3D6F202" w14:textId="1C949D3D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non-translatability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CB9A12D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8C096" w14:textId="24FEF4ED" w:rsidR="007A3FEE" w:rsidRPr="00C37E9C" w:rsidRDefault="007A3FEE" w:rsidP="00C37E9C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change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text of Art. 148 par. 4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regulated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may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prosecuted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decision-making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termination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narrowing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inadmissibility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prosecuting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opinion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expressed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decision-making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unacceptable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C0F790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text of Art. 148 par.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corresponded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identical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78 para. 1, 2)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136 para.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CE60437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point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equivalence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disadvantage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seriousness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unequal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36/11, PL.ÚS 12/2014).</w:t>
      </w:r>
    </w:p>
    <w:p w14:paraId="3F3C6E99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ECtHR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6 par.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52/99, II.ÚS 23/03).</w:t>
      </w:r>
    </w:p>
    <w:p w14:paraId="0C6BBB67" w14:textId="5B82C8F0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thorough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coercion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externally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manifested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voting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4/06, PL.ÚS 24/03, PL.ÚS 19/02).</w:t>
      </w:r>
    </w:p>
    <w:p w14:paraId="4363974C" w14:textId="2AB4E8A8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commencement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suspension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deputies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mandate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guilty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verdict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consistently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innocence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794E43ED" w14:textId="287EB66B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explanatory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memorandum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obstacle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-term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(§§ 116. 117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No. 385 / 2000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offense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repetition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recidivism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offense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incompatible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obligatorily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dismissal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4E0C4D18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unequivocally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arrangement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safeguards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10/05 of 21.4.2010).</w:t>
      </w:r>
    </w:p>
    <w:p w14:paraId="48F65EF8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31585" w14:textId="03702A1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2028DDDF" w14:textId="77CD6B53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petitioner's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argument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148 par.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unreasonably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C010D67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submitter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searches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ignores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sense of Art. 1 par. 2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F6BD79F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influences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and,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end,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intentional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offense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bribes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73BD93D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E09B0FB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",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just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04D77364" w14:textId="77777777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CCJE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65DF624" w14:textId="3E156900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FF70" w14:textId="68236FDD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narrowing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substantively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substantiated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liquidation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jeopardizes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inalienable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irrevocable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impartial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46 para.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32875CCF" w14:textId="3A4EC732" w:rsidR="007A3FEE" w:rsidRPr="00C37E9C" w:rsidRDefault="007A3FE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(IV.ÚS 75/09, PL.ÚS 102/2011, PL.ÚS 21/2014 and PL.ÚS 24/2014).</w:t>
      </w:r>
    </w:p>
    <w:p w14:paraId="69FC372B" w14:textId="1548134D" w:rsidR="002F78CA" w:rsidRPr="00C53764" w:rsidRDefault="002F78CA" w:rsidP="00C53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DD5A1" w14:textId="77777777" w:rsidR="008C48BA" w:rsidRPr="00C37E9C" w:rsidRDefault="008C48BA" w:rsidP="00C37E9C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61622A" w14:textId="77777777" w:rsidR="00EB2A5B" w:rsidRPr="00C37E9C" w:rsidRDefault="00EB2A5B" w:rsidP="00C37E9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Changes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laws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related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amendment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proofErr w:type="spellEnd"/>
    </w:p>
    <w:p w14:paraId="3FFFD9B2" w14:textId="77777777" w:rsidR="00EB2A5B" w:rsidRPr="00C37E9C" w:rsidRDefault="00EB2A5B" w:rsidP="00C37E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F65FE" w14:textId="77777777" w:rsidR="00EB2A5B" w:rsidRPr="00C37E9C" w:rsidRDefault="00EB2A5B" w:rsidP="00C37E9C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>1</w:t>
      </w:r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Council</w:t>
      </w:r>
      <w:proofErr w:type="spellEnd"/>
    </w:p>
    <w:p w14:paraId="6208A36E" w14:textId="77777777" w:rsidR="00EB2A5B" w:rsidRPr="00C37E9C" w:rsidRDefault="00EB2A5B" w:rsidP="00C37E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A /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§ 3 par. 2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objections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141a par. 2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E3A549C" w14:textId="00728ADB" w:rsidR="00EB2A5B" w:rsidRPr="00C37E9C" w:rsidRDefault="00EB2A5B" w:rsidP="00C37E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B / § 27ha par. 3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d /, § 27ha par. 6,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049E00C" w14:textId="77777777" w:rsidR="00EB2A5B" w:rsidRPr="00C37E9C" w:rsidRDefault="00EB2A5B" w:rsidP="00C37E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adjusting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inspections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arises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compatibility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adjusting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gains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3918656F" w14:textId="4D24F111" w:rsidR="00EB2A5B" w:rsidRPr="00C37E9C" w:rsidRDefault="00EB2A5B" w:rsidP="00C37E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so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police state,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incompatible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ECtHR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Kvasnica v.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9.6.2003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complaint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no. 72094/01).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No. 335/2005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unreasonably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police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29/05).</w:t>
      </w:r>
    </w:p>
    <w:p w14:paraId="4C3F877D" w14:textId="1A6D3306" w:rsidR="00933EEB" w:rsidRPr="00C37E9C" w:rsidRDefault="00EB2A5B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19)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treaties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17 par.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Covenant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Civil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8 par.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43/95, II.ÚS 94/95).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person </w:t>
      </w:r>
      <w:r w:rsidRPr="00C37E9C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peacefully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Art.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4F9DE9C" w14:textId="77777777" w:rsidR="00EB2A5B" w:rsidRPr="00C37E9C" w:rsidRDefault="00EB2A5B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Registry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detect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hallmarks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A4B3E40" w14:textId="1B2D2B4A" w:rsidR="00EB2A5B" w:rsidRPr="00C37E9C" w:rsidRDefault="00EB2A5B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incompatible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amending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FD9914D" w14:textId="77777777" w:rsidR="00EB2A5B" w:rsidRPr="00C37E9C" w:rsidRDefault="00EB2A5B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amend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factually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PL.ÚS 38/99, PL.ÚS 3/00, PL.ÚS 1/04, PL.ÚS 6/04, PL.ÚS 10 / 04, PL.ÚS 11/08).</w:t>
      </w:r>
    </w:p>
    <w:p w14:paraId="2EE268E9" w14:textId="38A8286A" w:rsidR="00EB2A5B" w:rsidRPr="00C37E9C" w:rsidRDefault="00EB2A5B" w:rsidP="00C37E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detect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deposits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withdrawals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bank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illegally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08B998D" w14:textId="77777777" w:rsidR="00EB2A5B" w:rsidRPr="00C37E9C" w:rsidRDefault="00EB2A5B" w:rsidP="00C37E9C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"lex retro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no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16/95, I.ÚS 238/09, PL ÚS 7/2017).</w:t>
      </w:r>
    </w:p>
    <w:p w14:paraId="1C3728A1" w14:textId="76D54333" w:rsidR="00933EEB" w:rsidRPr="00C37E9C" w:rsidRDefault="00EB2A5B" w:rsidP="00C37E9C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retroactivity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untouchable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368E194B" w14:textId="77777777" w:rsidR="00EB2A5B" w:rsidRPr="00C37E9C" w:rsidRDefault="00EB2A5B" w:rsidP="00C37E9C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co-ownership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46D226C" w14:textId="77777777" w:rsidR="00EB2A5B" w:rsidRPr="00C37E9C" w:rsidRDefault="00EB2A5B" w:rsidP="00C37E9C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explanatory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memorandum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9CE4A58" w14:textId="77777777" w:rsidR="00EB2A5B" w:rsidRPr="00C37E9C" w:rsidRDefault="00EB2A5B" w:rsidP="00C37E9C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transfer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person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has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circumvents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20 par. 5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no. 100/2010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E7FF61C" w14:textId="2A070C41" w:rsidR="00EB2A5B" w:rsidRPr="00C37E9C" w:rsidRDefault="00EB2A5B" w:rsidP="00C37E9C">
      <w:p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disproportionately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shifts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29/05).</w:t>
      </w:r>
    </w:p>
    <w:p w14:paraId="1D89169E" w14:textId="77777777" w:rsidR="00EB2A5B" w:rsidRPr="00C37E9C" w:rsidRDefault="00EB2A5B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Art. 20 par. 5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interpreted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conjunction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Art. 1 par. 1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innocence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implied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plaintiff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a state body)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illegally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owner's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peacefully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Ján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Drgonec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Great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C. H.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 550-551).</w:t>
      </w:r>
    </w:p>
    <w:p w14:paraId="2F358025" w14:textId="77777777" w:rsidR="00EB2A5B" w:rsidRPr="00C37E9C" w:rsidRDefault="00EB2A5B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innocence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(I.ÚS 54/2001).</w:t>
      </w:r>
    </w:p>
    <w:p w14:paraId="62E4EDEA" w14:textId="3281CFA1" w:rsidR="004D29C0" w:rsidRPr="00C37E9C" w:rsidRDefault="00EB2A5B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shifting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state)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F119170" w14:textId="54FA783A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1AF6F4EF" w14:textId="28F23C69" w:rsidR="00EB2A5B" w:rsidRPr="00C37E9C" w:rsidRDefault="00EB2A5B" w:rsidP="00C53764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Adjudicators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Prosecutors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No. 385/2000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Coll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No. 154/2001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Coll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0F1F29BA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39908130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>A /</w:t>
      </w:r>
    </w:p>
    <w:p w14:paraId="27E327C8" w14:textId="77B8E640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Deletion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§ 78a and new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§ 93 par. 3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sickness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benefit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no more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05BA8BE0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31FF63A3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(§ 8 para. 3, § 93 para. 1, § 103 para. 5, § 115, § 131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No. 154/2001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.).</w:t>
      </w:r>
    </w:p>
    <w:p w14:paraId="46A8CE2D" w14:textId="2D9E228E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draft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abolish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liquidate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sickness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incapacity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benefit).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52/99).</w:t>
      </w:r>
    </w:p>
    <w:p w14:paraId="6BA8D324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55C88F6D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legislator's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52/99, PL.ÚS 12/05, PL.ÚS 99/2011, PL.ÚS 27 / 2015).</w:t>
      </w:r>
    </w:p>
    <w:p w14:paraId="0A331CBF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04895300" w14:textId="3D0FD71F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Art. 128, Art. 125 par.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conformity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disregarded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PL.ÚS 1/04, PL.ÚS 49/03).</w:t>
      </w:r>
    </w:p>
    <w:p w14:paraId="23BC9861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59D6F1C9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commensurate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sense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6069E23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Art. 141 par. 1, Art. 144 par.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text of § 4 par. 2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concretizes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ratios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0CAECB8" w14:textId="4ECF60FA" w:rsidR="00EB2A5B" w:rsidRPr="00C37E9C" w:rsidRDefault="00EB2A5B" w:rsidP="00C53764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addresses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50C3141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inseparable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4DB82460" w14:textId="1FCA831A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undermine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actors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144 para.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68DA2F14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172DAC48" w14:textId="04C84232" w:rsidR="00EB2A5B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(by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change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addressees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PL.ÚS 6/04)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accentuated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discretion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discretion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tolerable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487F9AA1" w14:textId="3D0191AB" w:rsidR="00EB2A5B" w:rsidRPr="00C53764" w:rsidRDefault="00EB2A5B" w:rsidP="00C53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76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sickness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) as in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non-manipulable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6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53764">
        <w:rPr>
          <w:rFonts w:ascii="Times New Roman" w:hAnsi="Times New Roman" w:cs="Times New Roman"/>
          <w:sz w:val="24"/>
          <w:szCs w:val="24"/>
        </w:rPr>
        <w:t>.</w:t>
      </w:r>
    </w:p>
    <w:p w14:paraId="05993BFF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sense of Art. 1 par. 2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29F506B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14DD0E36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PL.ÚS 27/2015,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2010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1998.</w:t>
      </w:r>
    </w:p>
    <w:p w14:paraId="7F76F253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impartiality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A4432AB" w14:textId="5145B28C" w:rsidR="00EB2A5B" w:rsidRPr="00C53764" w:rsidRDefault="00EB2A5B" w:rsidP="00C53764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6,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risky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maternity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invalidity,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event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F625DC1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above-mentioned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maintained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event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BB394F2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1365EDF8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endanger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commensurate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21239E1" w14:textId="4F8970DE" w:rsidR="00541E9D" w:rsidRPr="00C53764" w:rsidRDefault="00EB2A5B" w:rsidP="00C53764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sickness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(to a maximum of 60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jeopardize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AAEF1B0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above-mentioned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sickness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status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legitimately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demanding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unparalleled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spheres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banned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(business,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strike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engagement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status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2EC8E15" w14:textId="5375E25F" w:rsidR="00541E9D" w:rsidRPr="00C53764" w:rsidRDefault="00EB2A5B" w:rsidP="00C53764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sense,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unequally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unequal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" (eg ÚS ČR - PL.ÚS 11/02).</w:t>
      </w:r>
    </w:p>
    <w:p w14:paraId="0F795F10" w14:textId="16D7CD46" w:rsidR="00EB2A5B" w:rsidRPr="00C53764" w:rsidRDefault="00EB2A5B" w:rsidP="00C53764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substantively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identical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sickness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1118509" w14:textId="58529E93" w:rsidR="00EB2A5B" w:rsidRPr="00C53764" w:rsidRDefault="00EB2A5B" w:rsidP="00C53764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above-mentioned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petitioner's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sickness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38405ED8" w14:textId="4FD136B4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undoubtedly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inseparable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§ 4 par. 2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commensurate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70C5A155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82C6DDC" w14:textId="68CB39B4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149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13D0E440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642E6060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irreplaceable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supervises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undesirable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17/96, II.ÚS 360/2014).</w:t>
      </w:r>
    </w:p>
    <w:p w14:paraId="62342421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​​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non-criminal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non-dispute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055AFD5A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 para. 2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487D475" w14:textId="0EB626BD" w:rsidR="00541E9D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exercising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(business,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strike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association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29 (2),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37 (4),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54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725D9539" w14:textId="15C26378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body,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irreplaceable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D6EB4D4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10E43F46" w14:textId="1F997EB6" w:rsidR="008975DE" w:rsidRPr="00C37E9C" w:rsidRDefault="008975D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E9C">
        <w:rPr>
          <w:rFonts w:ascii="Times New Roman" w:hAnsi="Times New Roman" w:cs="Times New Roman"/>
          <w:b/>
          <w:bCs/>
          <w:sz w:val="24"/>
          <w:szCs w:val="24"/>
        </w:rPr>
        <w:t>B/</w:t>
      </w:r>
    </w:p>
    <w:p w14:paraId="298BA76E" w14:textId="77777777" w:rsidR="008975DE" w:rsidRPr="00C37E9C" w:rsidRDefault="008975D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16459738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cancellation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benefit),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enshrined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78a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factually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unfounded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06C709D4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7DC0C8BA" w14:textId="1CD0AC43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co-operation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co-operate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143 para. 3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50,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precludes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10/05).</w:t>
      </w:r>
    </w:p>
    <w:p w14:paraId="5BFD4606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5C977825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50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civil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unequal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6C8BCB2A" w14:textId="36724171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ensures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(§ 78a)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reward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benefit,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criticized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PL.ÚS 12/05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rewards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met.</w:t>
      </w:r>
    </w:p>
    <w:p w14:paraId="01DD9E41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(§ 65 -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bonuses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overtime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2E0CCB40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awarding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awarding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78a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exhaustively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awarding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3BDE3377" w14:textId="77777777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58456EE1" w14:textId="70439E82" w:rsidR="00EB2A5B" w:rsidRPr="00C37E9C" w:rsidRDefault="00EB2A5B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ratios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benefit.</w:t>
      </w:r>
    </w:p>
    <w:p w14:paraId="2F9307F5" w14:textId="77777777" w:rsidR="009C4C0E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unconstitutionality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legislature's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disturbs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52/99, PL.ÚS 12/05, PL.ÚS 27/2015).</w:t>
      </w:r>
    </w:p>
    <w:p w14:paraId="36A52177" w14:textId="77777777" w:rsidR="009C4C0E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sufficiently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temporaryity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arbitrariness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purposeful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unmanageable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D24E22D" w14:textId="7801AC71" w:rsidR="009C4C0E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causal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144 para. 1).</w:t>
      </w:r>
    </w:p>
    <w:p w14:paraId="0877097E" w14:textId="77777777" w:rsidR="009C4C0E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r w:rsidRPr="00C37E9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addressees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accentuated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addressees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9B3DEBE" w14:textId="77777777" w:rsidR="009C4C0E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335A9E28" w14:textId="0C9BB0A5" w:rsidR="00EB2A5B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abolition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144 par.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59B6B9A" w14:textId="77777777" w:rsidR="009C4C0E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point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4BD461C3" w14:textId="167BED75" w:rsidR="009C4C0E" w:rsidRPr="00C37E9C" w:rsidRDefault="009C4C0E" w:rsidP="00C37E9C">
      <w:pPr>
        <w:pStyle w:val="Odsekzoznamu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cancellation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benefit,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granting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excludes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influencing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judge's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refusing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durability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stability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norm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PL.ÚS 37/99, PL.ÚS 49/03, I.ÚS 30/99, PL.ÚS 1/04, PL.ÚS 6/04).</w:t>
      </w:r>
    </w:p>
    <w:p w14:paraId="60D54413" w14:textId="5E9EC24A" w:rsidR="008975DE" w:rsidRPr="00C37E9C" w:rsidRDefault="008975D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0773D" w14:textId="35F900DF" w:rsidR="008975DE" w:rsidRPr="00C37E9C" w:rsidRDefault="008975DE" w:rsidP="00C37E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E9C">
        <w:rPr>
          <w:rFonts w:ascii="Times New Roman" w:hAnsi="Times New Roman" w:cs="Times New Roman"/>
          <w:b/>
          <w:bCs/>
          <w:sz w:val="24"/>
          <w:szCs w:val="24"/>
        </w:rPr>
        <w:t>C/</w:t>
      </w:r>
    </w:p>
    <w:p w14:paraId="495E444F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§ 151zf par. 3, 4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new model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transitional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30.6.2021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406F6BBB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explanatory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memorandum).</w:t>
      </w:r>
    </w:p>
    <w:p w14:paraId="55E345BB" w14:textId="0D84C765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precondition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integrity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(§ 5 para. 6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54CC77C1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5 (1) (a) to (i),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5 (6)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).</w:t>
      </w:r>
    </w:p>
    <w:p w14:paraId="431AFF74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verifies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level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creatively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prerequisites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status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649DD21" w14:textId="7DC6E4E5" w:rsidR="008975D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(test,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study,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drafting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oral part,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five-member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lasts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61387A89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(to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lesser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40,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oral part).</w:t>
      </w:r>
    </w:p>
    <w:p w14:paraId="4EC1C212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B14C" w14:textId="2FF5D0B2" w:rsidR="00CA3D33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underlined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30 par.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state,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obstacle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elected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(I.ÚS 397/2014, IV.ÚS 92/2012, PL.ÚS 19/98).</w:t>
      </w:r>
    </w:p>
    <w:p w14:paraId="7B3B1241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Art. 30 par. 4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state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(eg II.ÚS 48/97, I.ÚS 76/2011, I.ÚS 397/14).</w:t>
      </w:r>
    </w:p>
    <w:p w14:paraId="2438414D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1A1B" w14:textId="1D2DD9DA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unequal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go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30 par. 4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1B32AE80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Art. 12 par. 1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chosen model he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lastRenderedPageBreak/>
        <w:t>appointment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etc.)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(PL.ÚS 102/2011).</w:t>
      </w:r>
    </w:p>
    <w:p w14:paraId="025D2FBB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6D278" w14:textId="4BFCDA7F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Art. 12 par. 1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non-discrimination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Art. 30 par. 4 on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unconditional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preferred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4A1C1BDF" w14:textId="77777777" w:rsidR="009C4C0E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undoubtedly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favored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simplified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are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exemplary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) by more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demanding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demanding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4BF3B179" w14:textId="336604B7" w:rsidR="00CA3D33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inalienable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irrevocable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14EC983" w14:textId="77777777" w:rsidR="00923A6C" w:rsidRPr="00C37E9C" w:rsidRDefault="00923A6C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952E3" w14:textId="62FD5C55" w:rsidR="00CA3D33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Dear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members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b/>
          <w:bCs/>
          <w:sz w:val="24"/>
          <w:szCs w:val="24"/>
        </w:rPr>
        <w:t>Parliament</w:t>
      </w:r>
      <w:proofErr w:type="spellEnd"/>
      <w:r w:rsidR="00CA3D33" w:rsidRPr="00C37E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B7B1DC" w14:textId="65D52AF1" w:rsidR="0022183A" w:rsidRPr="00C37E9C" w:rsidRDefault="009C4C0E" w:rsidP="00C37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chosen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acquaint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more detail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judgments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promise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.</w:t>
      </w:r>
    </w:p>
    <w:p w14:paraId="5D5701F4" w14:textId="77777777" w:rsidR="00CA3D33" w:rsidRPr="00C37E9C" w:rsidRDefault="00CA3D33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3BCBA" w14:textId="7EF3466A" w:rsidR="0022183A" w:rsidRPr="00C37E9C" w:rsidRDefault="009C4C0E" w:rsidP="00C37E9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>,</w:t>
      </w:r>
    </w:p>
    <w:p w14:paraId="612443D1" w14:textId="7FF04241" w:rsidR="002D233B" w:rsidRPr="00C37E9C" w:rsidRDefault="0022183A" w:rsidP="00C37E9C">
      <w:pPr>
        <w:pStyle w:val="Odsekzoznamu"/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9C">
        <w:rPr>
          <w:rFonts w:ascii="Times New Roman" w:hAnsi="Times New Roman" w:cs="Times New Roman"/>
          <w:sz w:val="24"/>
          <w:szCs w:val="24"/>
        </w:rPr>
        <w:tab/>
        <w:t xml:space="preserve">JUDr. Juraj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Sopoliga</w:t>
      </w:r>
      <w:proofErr w:type="spellEnd"/>
    </w:p>
    <w:p w14:paraId="3F2ABCE9" w14:textId="4711816F" w:rsidR="0022183A" w:rsidRPr="00C37E9C" w:rsidRDefault="009C4C0E" w:rsidP="00C37E9C">
      <w:pPr>
        <w:tabs>
          <w:tab w:val="left" w:pos="59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7E9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Association of </w:t>
      </w:r>
      <w:proofErr w:type="spellStart"/>
      <w:r w:rsidRPr="00C37E9C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C37E9C">
        <w:rPr>
          <w:rFonts w:ascii="Times New Roman" w:hAnsi="Times New Roman" w:cs="Times New Roman"/>
          <w:sz w:val="24"/>
          <w:szCs w:val="24"/>
        </w:rPr>
        <w:t xml:space="preserve"> of Slovakia</w:t>
      </w:r>
    </w:p>
    <w:sectPr w:rsidR="0022183A" w:rsidRPr="00C37E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BDBE" w14:textId="77777777" w:rsidR="00E053A6" w:rsidRDefault="00E053A6" w:rsidP="00AF7576">
      <w:pPr>
        <w:spacing w:after="0" w:line="240" w:lineRule="auto"/>
      </w:pPr>
      <w:r>
        <w:separator/>
      </w:r>
    </w:p>
  </w:endnote>
  <w:endnote w:type="continuationSeparator" w:id="0">
    <w:p w14:paraId="5B340B4C" w14:textId="77777777" w:rsidR="00E053A6" w:rsidRDefault="00E053A6" w:rsidP="00AF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413051"/>
      <w:docPartObj>
        <w:docPartGallery w:val="Page Numbers (Bottom of Page)"/>
        <w:docPartUnique/>
      </w:docPartObj>
    </w:sdtPr>
    <w:sdtEndPr/>
    <w:sdtContent>
      <w:p w14:paraId="6BEBEADF" w14:textId="5D1E454F" w:rsidR="0050776A" w:rsidRDefault="005077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8D0DD" w14:textId="77777777" w:rsidR="0050776A" w:rsidRDefault="005077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6B0B" w14:textId="77777777" w:rsidR="00E053A6" w:rsidRDefault="00E053A6" w:rsidP="00AF7576">
      <w:pPr>
        <w:spacing w:after="0" w:line="240" w:lineRule="auto"/>
      </w:pPr>
      <w:r>
        <w:separator/>
      </w:r>
    </w:p>
  </w:footnote>
  <w:footnote w:type="continuationSeparator" w:id="0">
    <w:p w14:paraId="08D365B9" w14:textId="77777777" w:rsidR="00E053A6" w:rsidRDefault="00E053A6" w:rsidP="00AF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0D2"/>
    <w:multiLevelType w:val="hybridMultilevel"/>
    <w:tmpl w:val="3998D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80C"/>
    <w:multiLevelType w:val="hybridMultilevel"/>
    <w:tmpl w:val="3998D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8AE"/>
    <w:multiLevelType w:val="hybridMultilevel"/>
    <w:tmpl w:val="0A526964"/>
    <w:lvl w:ilvl="0" w:tplc="FF26E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24E25"/>
    <w:multiLevelType w:val="hybridMultilevel"/>
    <w:tmpl w:val="3998D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0719D"/>
    <w:multiLevelType w:val="hybridMultilevel"/>
    <w:tmpl w:val="3998D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5A4B"/>
    <w:multiLevelType w:val="hybridMultilevel"/>
    <w:tmpl w:val="A20295FC"/>
    <w:lvl w:ilvl="0" w:tplc="A2144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AA5204"/>
    <w:multiLevelType w:val="hybridMultilevel"/>
    <w:tmpl w:val="71D8E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322"/>
    <w:multiLevelType w:val="hybridMultilevel"/>
    <w:tmpl w:val="1DBE47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C445B"/>
    <w:multiLevelType w:val="hybridMultilevel"/>
    <w:tmpl w:val="3998D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6FC5"/>
    <w:multiLevelType w:val="hybridMultilevel"/>
    <w:tmpl w:val="2F6809AA"/>
    <w:lvl w:ilvl="0" w:tplc="714293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503329"/>
    <w:multiLevelType w:val="hybridMultilevel"/>
    <w:tmpl w:val="3998D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B8F"/>
    <w:multiLevelType w:val="hybridMultilevel"/>
    <w:tmpl w:val="3998D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A2"/>
    <w:rsid w:val="000116AD"/>
    <w:rsid w:val="00011884"/>
    <w:rsid w:val="0013002D"/>
    <w:rsid w:val="0018142A"/>
    <w:rsid w:val="0022183A"/>
    <w:rsid w:val="00226CE1"/>
    <w:rsid w:val="00254D7A"/>
    <w:rsid w:val="002D233B"/>
    <w:rsid w:val="002F78CA"/>
    <w:rsid w:val="00313228"/>
    <w:rsid w:val="003537D4"/>
    <w:rsid w:val="00365C4D"/>
    <w:rsid w:val="003D2B88"/>
    <w:rsid w:val="00417837"/>
    <w:rsid w:val="00453E7D"/>
    <w:rsid w:val="004D29C0"/>
    <w:rsid w:val="0050776A"/>
    <w:rsid w:val="00541E9D"/>
    <w:rsid w:val="006072DA"/>
    <w:rsid w:val="0079024F"/>
    <w:rsid w:val="007A3FEE"/>
    <w:rsid w:val="008975DE"/>
    <w:rsid w:val="008C48BA"/>
    <w:rsid w:val="008D1F07"/>
    <w:rsid w:val="008F72C8"/>
    <w:rsid w:val="00923A6C"/>
    <w:rsid w:val="00933EEB"/>
    <w:rsid w:val="00937BF5"/>
    <w:rsid w:val="00994DFB"/>
    <w:rsid w:val="009B33DD"/>
    <w:rsid w:val="009C4C0E"/>
    <w:rsid w:val="009E6F7C"/>
    <w:rsid w:val="00A008DC"/>
    <w:rsid w:val="00A2456C"/>
    <w:rsid w:val="00A37773"/>
    <w:rsid w:val="00A4371A"/>
    <w:rsid w:val="00AF7576"/>
    <w:rsid w:val="00B37485"/>
    <w:rsid w:val="00C37E9C"/>
    <w:rsid w:val="00C53764"/>
    <w:rsid w:val="00C9186C"/>
    <w:rsid w:val="00CA3D33"/>
    <w:rsid w:val="00CC703C"/>
    <w:rsid w:val="00CD5F57"/>
    <w:rsid w:val="00D254A2"/>
    <w:rsid w:val="00D50E98"/>
    <w:rsid w:val="00D6054F"/>
    <w:rsid w:val="00D73708"/>
    <w:rsid w:val="00E053A6"/>
    <w:rsid w:val="00E54AB4"/>
    <w:rsid w:val="00E737D4"/>
    <w:rsid w:val="00E87ACA"/>
    <w:rsid w:val="00EA1795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4B04"/>
  <w15:chartTrackingRefBased/>
  <w15:docId w15:val="{DDD23516-3E11-446F-9F22-73B0C2C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23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83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F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576"/>
  </w:style>
  <w:style w:type="paragraph" w:styleId="Pta">
    <w:name w:val="footer"/>
    <w:basedOn w:val="Normlny"/>
    <w:link w:val="PtaChar"/>
    <w:uiPriority w:val="99"/>
    <w:unhideWhenUsed/>
    <w:rsid w:val="00AF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8041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SK</dc:creator>
  <cp:keywords/>
  <dc:description/>
  <cp:lastModifiedBy>Dana Jelinkova</cp:lastModifiedBy>
  <cp:revision>3</cp:revision>
  <cp:lastPrinted>2020-10-20T06:01:00Z</cp:lastPrinted>
  <dcterms:created xsi:type="dcterms:W3CDTF">2021-03-14T16:42:00Z</dcterms:created>
  <dcterms:modified xsi:type="dcterms:W3CDTF">2021-03-14T16:49:00Z</dcterms:modified>
</cp:coreProperties>
</file>